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0957B5" w:rsidRDefault="00C0676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CIRCUITO ITALIANO Y COSTA AZUL</w:t>
      </w:r>
    </w:p>
    <w:p w:rsidR="009D24E8" w:rsidRDefault="009D24E8" w:rsidP="009D24E8">
      <w:pPr>
        <w:spacing w:line="240" w:lineRule="auto"/>
        <w:ind w:left="181"/>
        <w:jc w:val="center"/>
        <w:outlineLvl w:val="1"/>
        <w:rPr>
          <w:rFonts w:ascii="Tahoma" w:eastAsia="Arial Unicode MS" w:hAnsi="Tahoma" w:cs="Tahoma"/>
          <w:color w:val="7F7F7F" w:themeColor="text1" w:themeTint="80"/>
          <w:sz w:val="20"/>
          <w:lang w:val="es-ES_tradnl"/>
        </w:rPr>
      </w:pPr>
      <w:r w:rsidRPr="002F33D5">
        <w:rPr>
          <w:rFonts w:ascii="Tahoma" w:eastAsia="Arial Unicode MS" w:hAnsi="Tahoma" w:cs="Tahoma"/>
          <w:color w:val="7F7F7F" w:themeColor="text1" w:themeTint="80"/>
          <w:sz w:val="20"/>
          <w:lang w:val="es-ES_tradnl"/>
        </w:rPr>
        <w:t xml:space="preserve">VENECIA • PADUA • BOLONIA • FLORENCIA • ASÍS • ROMA • PISA • </w:t>
      </w:r>
    </w:p>
    <w:p w:rsidR="009D24E8" w:rsidRPr="002F33D5" w:rsidRDefault="009D24E8" w:rsidP="009D24E8">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2F33D5">
        <w:rPr>
          <w:rFonts w:ascii="Tahoma" w:eastAsia="Arial Unicode MS" w:hAnsi="Tahoma" w:cs="Tahoma"/>
          <w:color w:val="7F7F7F" w:themeColor="text1" w:themeTint="80"/>
          <w:sz w:val="20"/>
          <w:lang w:val="es-ES_tradnl"/>
        </w:rPr>
        <w:t>NIZA • PRINCIPADO DE MONACO</w:t>
      </w:r>
    </w:p>
    <w:p w:rsidR="009D24E8" w:rsidRPr="002F33D5" w:rsidRDefault="009D24E8" w:rsidP="009D24E8">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9D24E8" w:rsidRPr="00145F01" w:rsidRDefault="009D24E8" w:rsidP="009D24E8">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10</w:t>
      </w:r>
      <w:r w:rsidRPr="00145F01">
        <w:rPr>
          <w:rFonts w:ascii="Tahoma" w:eastAsia="Times New Roman" w:hAnsi="Tahoma" w:cs="Tahoma"/>
          <w:b/>
          <w:bCs/>
          <w:color w:val="548DD4" w:themeColor="text2" w:themeTint="99"/>
          <w:kern w:val="36"/>
          <w:lang w:val="es-ES_tradnl" w:eastAsia="pt-PT"/>
        </w:rPr>
        <w:t xml:space="preserve"> DÍAS DESDE </w:t>
      </w:r>
      <w:r w:rsidR="004C023A">
        <w:rPr>
          <w:rFonts w:ascii="Tahoma" w:eastAsia="Times New Roman" w:hAnsi="Tahoma" w:cs="Tahoma"/>
          <w:b/>
          <w:bCs/>
          <w:color w:val="548DD4" w:themeColor="text2" w:themeTint="99"/>
          <w:kern w:val="36"/>
          <w:lang w:val="es-ES_tradnl" w:eastAsia="pt-PT"/>
        </w:rPr>
        <w:t>$ USA 1.762</w:t>
      </w:r>
    </w:p>
    <w:p w:rsidR="009D24E8" w:rsidRDefault="009D24E8" w:rsidP="009D24E8">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Pr="00145F01">
        <w:rPr>
          <w:rFonts w:ascii="Tahoma" w:eastAsia="Times New Roman" w:hAnsi="Tahoma" w:cs="Tahoma"/>
          <w:b/>
          <w:bCs/>
          <w:color w:val="548DD4" w:themeColor="text2" w:themeTint="99"/>
          <w:kern w:val="36"/>
          <w:lang w:val="es-ES_tradnl" w:eastAsia="pt-PT"/>
        </w:rPr>
        <w:t xml:space="preserve"> ESTRELLAS</w:t>
      </w:r>
    </w:p>
    <w:p w:rsidR="009D24E8" w:rsidRDefault="009D24E8" w:rsidP="009D24E8">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9D24E8" w:rsidRDefault="009D24E8" w:rsidP="00514692">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 xml:space="preserve">SALIDAS </w:t>
      </w:r>
      <w:r w:rsidR="00514692">
        <w:rPr>
          <w:rFonts w:ascii="Tahoma" w:eastAsia="Times New Roman" w:hAnsi="Tahoma" w:cs="Tahoma"/>
          <w:b/>
          <w:bCs/>
          <w:color w:val="548DD4" w:themeColor="text2" w:themeTint="99"/>
          <w:kern w:val="36"/>
          <w:lang w:val="es-ES_tradnl" w:eastAsia="pt-PT"/>
        </w:rPr>
        <w:t>:</w:t>
      </w:r>
    </w:p>
    <w:p w:rsidR="009D24E8" w:rsidRPr="002E0598" w:rsidRDefault="009D24E8" w:rsidP="009D24E8">
      <w:pPr>
        <w:tabs>
          <w:tab w:val="left" w:pos="1048"/>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b/>
          <w:bCs/>
          <w:color w:val="7F7F7F" w:themeColor="text1" w:themeTint="80"/>
          <w:sz w:val="18"/>
          <w:szCs w:val="18"/>
          <w:lang w:val="es-ES" w:eastAsia="es-ES_tradnl"/>
        </w:rPr>
        <w:t>2014</w:t>
      </w:r>
      <w:r w:rsidRPr="002E0598">
        <w:rPr>
          <w:rFonts w:ascii="Tahoma" w:eastAsia="Times New Roman" w:hAnsi="Tahoma" w:cs="Tahoma"/>
          <w:b/>
          <w:bCs/>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b/>
          <w:bCs/>
          <w:color w:val="7F7F7F" w:themeColor="text1" w:themeTint="80"/>
          <w:sz w:val="18"/>
          <w:szCs w:val="18"/>
          <w:lang w:val="es-ES" w:eastAsia="es-ES_tradnl"/>
        </w:rPr>
        <w:t>2015</w:t>
      </w:r>
      <w:r w:rsidRPr="002E0598">
        <w:rPr>
          <w:rFonts w:ascii="Tahoma" w:eastAsia="Times New Roman" w:hAnsi="Tahoma" w:cs="Tahoma"/>
          <w:b/>
          <w:bCs/>
          <w:color w:val="7F7F7F" w:themeColor="text1" w:themeTint="80"/>
          <w:sz w:val="18"/>
          <w:szCs w:val="18"/>
          <w:lang w:val="es-ES" w:eastAsia="es-ES_tradnl"/>
        </w:rPr>
        <w:tab/>
      </w:r>
    </w:p>
    <w:p w:rsidR="009D24E8" w:rsidRPr="002E0598" w:rsidRDefault="009D24E8" w:rsidP="009D24E8">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Junio: 09</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23 </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Enero: 05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19</w:t>
      </w:r>
    </w:p>
    <w:p w:rsidR="009D24E8" w:rsidRPr="002E0598" w:rsidRDefault="009D24E8" w:rsidP="009D24E8">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Julio: 07</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21</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Febrero: 02</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16</w:t>
      </w:r>
    </w:p>
    <w:p w:rsidR="009D24E8" w:rsidRPr="002E0598" w:rsidRDefault="009D24E8" w:rsidP="009D24E8">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Agosto: 04</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18</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9D24E8" w:rsidRPr="002E0598" w:rsidRDefault="009D24E8" w:rsidP="009D24E8">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Septiembre: 01</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29</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9D24E8" w:rsidRPr="002E0598" w:rsidRDefault="009D24E8" w:rsidP="009D24E8">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Octubre: 13</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27</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9D24E8" w:rsidRPr="002E0598" w:rsidRDefault="009D24E8" w:rsidP="009D24E8">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Noviembre: 10</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24</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9D24E8" w:rsidRPr="00E94E36" w:rsidRDefault="009D24E8" w:rsidP="009D24E8">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2E0598">
        <w:rPr>
          <w:rFonts w:ascii="Tahoma" w:eastAsia="Times New Roman" w:hAnsi="Tahoma" w:cs="Tahoma"/>
          <w:color w:val="7F7F7F" w:themeColor="text1" w:themeTint="80"/>
          <w:sz w:val="18"/>
          <w:szCs w:val="18"/>
          <w:lang w:val="es-ES" w:eastAsia="es-ES_tradnl"/>
        </w:rPr>
        <w:t>Diciembre: 08</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22</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p>
    <w:p w:rsidR="009D24E8" w:rsidRPr="00C5412F" w:rsidRDefault="009D24E8" w:rsidP="009D24E8">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Llegada a Venecia</w:t>
      </w:r>
    </w:p>
    <w:p w:rsidR="009D24E8" w:rsidRPr="008A2151" w:rsidRDefault="009D24E8" w:rsidP="009D24E8">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Venecia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Alojamiento.</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2E0598">
        <w:rPr>
          <w:rFonts w:ascii="Tahoma" w:eastAsia="Times New Roman" w:hAnsi="Tahoma" w:cs="Tahoma"/>
          <w:b/>
          <w:bCs/>
          <w:caps/>
          <w:color w:val="A6C325"/>
          <w:kern w:val="36"/>
          <w:sz w:val="21"/>
          <w:szCs w:val="21"/>
          <w:lang w:val="es-ES_tradnl" w:eastAsia="pt-PT"/>
        </w:rPr>
        <w:t>Venecia</w:t>
      </w:r>
    </w:p>
    <w:p w:rsidR="009D24E8"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9D24E8" w:rsidRPr="00A95757" w:rsidRDefault="009D24E8" w:rsidP="009D24E8">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9D24E8" w:rsidRPr="0045368B"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 </w:t>
      </w:r>
      <w:r w:rsidRPr="002E0598">
        <w:rPr>
          <w:rFonts w:ascii="Tahoma" w:eastAsia="Times New Roman" w:hAnsi="Tahoma" w:cs="Tahoma"/>
          <w:b/>
          <w:bCs/>
          <w:caps/>
          <w:color w:val="A6C325"/>
          <w:kern w:val="36"/>
          <w:sz w:val="21"/>
          <w:szCs w:val="21"/>
          <w:lang w:val="es-ES_tradnl" w:eastAsia="pt-PT"/>
        </w:rPr>
        <w:t>Venecia / Padua / Bolonia / Florencia</w:t>
      </w:r>
    </w:p>
    <w:p w:rsidR="009D24E8" w:rsidRPr="008A2151" w:rsidRDefault="009D24E8" w:rsidP="009D24E8">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9D24E8" w:rsidRDefault="009D24E8" w:rsidP="009D24E8">
      <w:pPr>
        <w:spacing w:line="240" w:lineRule="auto"/>
        <w:ind w:left="181"/>
        <w:rPr>
          <w:rFonts w:ascii="Tahoma" w:eastAsia="Times New Roman" w:hAnsi="Tahoma" w:cs="Tahoma"/>
          <w:color w:val="7F7F7F" w:themeColor="text1" w:themeTint="80"/>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9D24E8" w:rsidRPr="00A95757" w:rsidRDefault="009D24E8" w:rsidP="009D24E8">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 / Asís / Roma</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w:t>
      </w:r>
      <w:r w:rsidRPr="00607F67">
        <w:rPr>
          <w:rFonts w:ascii="Tahoma" w:eastAsia="Times New Roman" w:hAnsi="Tahoma" w:cs="Tahoma"/>
          <w:bCs/>
          <w:color w:val="808080" w:themeColor="background1" w:themeShade="80"/>
          <w:kern w:val="36"/>
          <w:sz w:val="18"/>
          <w:szCs w:val="18"/>
          <w:lang w:val="es-ES_tradnl" w:eastAsia="pt-PT"/>
        </w:rPr>
        <w:lastRenderedPageBreak/>
        <w:t>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9D24E8" w:rsidRPr="00607F67"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R</w:t>
      </w:r>
      <w:r w:rsidRPr="002E0598">
        <w:rPr>
          <w:rFonts w:ascii="Tahoma" w:eastAsia="Times New Roman" w:hAnsi="Tahoma" w:cs="Tahoma"/>
          <w:b/>
          <w:bCs/>
          <w:caps/>
          <w:color w:val="A6C325"/>
          <w:kern w:val="36"/>
          <w:sz w:val="21"/>
          <w:szCs w:val="21"/>
          <w:lang w:val="es-ES_tradnl" w:eastAsia="pt-PT"/>
        </w:rPr>
        <w:t>oma</w:t>
      </w:r>
    </w:p>
    <w:p w:rsidR="009D24E8" w:rsidRPr="008A2151"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9D24E8" w:rsidRPr="00A95757" w:rsidRDefault="009D24E8" w:rsidP="009D24E8">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9D24E8" w:rsidRPr="00607F67"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w:t>
      </w:r>
    </w:p>
    <w:p w:rsidR="009D24E8" w:rsidRPr="008A2151"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9D24E8" w:rsidRPr="008A2151"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9D24E8" w:rsidRPr="00D245B9" w:rsidRDefault="009D24E8" w:rsidP="009D24E8">
      <w:pPr>
        <w:spacing w:line="240" w:lineRule="auto"/>
        <w:ind w:left="181"/>
        <w:rPr>
          <w:rFonts w:ascii="Tahoma" w:eastAsia="Times New Roman" w:hAnsi="Tahoma" w:cs="Tahoma"/>
          <w:b/>
          <w:bCs/>
          <w:color w:val="A6C325"/>
          <w:kern w:val="36"/>
          <w:sz w:val="21"/>
          <w:szCs w:val="21"/>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 / Pisa / Niza</w:t>
      </w:r>
    </w:p>
    <w:p w:rsidR="009D24E8" w:rsidRDefault="009D24E8" w:rsidP="009D24E8">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9D24E8" w:rsidRDefault="009D24E8" w:rsidP="009D24E8">
      <w:pPr>
        <w:spacing w:line="240" w:lineRule="auto"/>
        <w:ind w:left="181"/>
        <w:rPr>
          <w:rFonts w:ascii="Tahoma" w:eastAsia="Times New Roman" w:hAnsi="Tahoma" w:cs="Tahoma"/>
          <w:color w:val="7F7F7F" w:themeColor="text1" w:themeTint="80"/>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Principado de Mónaco / Niza</w:t>
      </w:r>
      <w:r>
        <w:rPr>
          <w:rFonts w:ascii="Tahoma" w:eastAsia="Times New Roman" w:hAnsi="Tahoma" w:cs="Tahoma"/>
          <w:bCs/>
          <w:color w:val="808080" w:themeColor="background1" w:themeShade="80"/>
          <w:kern w:val="36"/>
          <w:sz w:val="18"/>
          <w:szCs w:val="18"/>
          <w:lang w:val="es-ES_tradnl" w:eastAsia="pt-PT"/>
        </w:rPr>
        <w:t xml:space="preserve"> </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9D24E8" w:rsidRPr="00C96822" w:rsidRDefault="009D24E8" w:rsidP="009D24E8">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576F3F" w:rsidRDefault="00C96822" w:rsidP="00236F4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AF469D">
        <w:rPr>
          <w:rFonts w:ascii="Tahoma" w:eastAsia="Times New Roman" w:hAnsi="Tahoma" w:cs="Tahoma"/>
          <w:b/>
          <w:bCs/>
          <w:color w:val="A6C325"/>
          <w:kern w:val="36"/>
          <w:sz w:val="21"/>
          <w:szCs w:val="21"/>
          <w:lang w:val="es-ES_tradnl" w:eastAsia="pt-PT"/>
        </w:rPr>
        <w:t>0</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9408F3">
        <w:rPr>
          <w:rFonts w:ascii="Tahoma" w:eastAsia="Times New Roman" w:hAnsi="Tahoma" w:cs="Tahoma"/>
          <w:b/>
          <w:bCs/>
          <w:color w:val="A6C325"/>
          <w:kern w:val="36"/>
          <w:sz w:val="21"/>
          <w:szCs w:val="21"/>
          <w:lang w:val="es-ES_tradnl" w:eastAsia="pt-PT"/>
        </w:rPr>
        <w:t xml:space="preserve"> </w:t>
      </w:r>
      <w:r w:rsidR="00236F4F" w:rsidRPr="009D24E8">
        <w:rPr>
          <w:rFonts w:ascii="Tahoma" w:eastAsia="Times New Roman" w:hAnsi="Tahoma" w:cs="Tahoma"/>
          <w:b/>
          <w:bCs/>
          <w:caps/>
          <w:color w:val="A6C325"/>
          <w:kern w:val="36"/>
          <w:sz w:val="21"/>
          <w:szCs w:val="21"/>
          <w:lang w:val="es-ES_tradnl" w:eastAsia="pt-PT"/>
        </w:rPr>
        <w:t xml:space="preserve">Salida de </w:t>
      </w:r>
      <w:r w:rsidR="009408F3" w:rsidRPr="009D24E8">
        <w:rPr>
          <w:rFonts w:ascii="Tahoma" w:eastAsia="Times New Roman" w:hAnsi="Tahoma" w:cs="Tahoma"/>
          <w:b/>
          <w:bCs/>
          <w:caps/>
          <w:color w:val="A6C325"/>
          <w:kern w:val="36"/>
          <w:sz w:val="21"/>
          <w:szCs w:val="21"/>
          <w:lang w:val="es-ES_tradnl" w:eastAsia="pt-PT"/>
        </w:rPr>
        <w:t>Niza</w:t>
      </w:r>
      <w:r w:rsidR="009408F3">
        <w:rPr>
          <w:rFonts w:ascii="Tahoma" w:eastAsia="Times New Roman" w:hAnsi="Tahoma" w:cs="Tahoma"/>
          <w:b/>
          <w:bCs/>
          <w:color w:val="A6C325"/>
          <w:kern w:val="36"/>
          <w:sz w:val="21"/>
          <w:szCs w:val="21"/>
          <w:lang w:val="es-ES_tradnl" w:eastAsia="pt-PT"/>
        </w:rPr>
        <w:t xml:space="preserve"> </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617F89">
        <w:rPr>
          <w:rFonts w:ascii="Tahoma" w:eastAsia="Times New Roman" w:hAnsi="Tahoma" w:cs="Tahoma"/>
          <w:bCs/>
          <w:color w:val="808080" w:themeColor="background1" w:themeShade="80"/>
          <w:kern w:val="36"/>
          <w:sz w:val="18"/>
          <w:szCs w:val="18"/>
          <w:lang w:val="es-ES_tradnl" w:eastAsia="pt-PT"/>
        </w:rPr>
        <w:t>.</w:t>
      </w:r>
    </w:p>
    <w:p w:rsidR="00617F89" w:rsidRDefault="00617F89"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17F89" w:rsidRDefault="00617F89"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D24E8" w:rsidRDefault="009D24E8" w:rsidP="009D24E8">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9D24E8" w:rsidRPr="00586880" w:rsidRDefault="009D24E8" w:rsidP="009D24E8">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9</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9D24E8" w:rsidRPr="00586880" w:rsidRDefault="009D24E8" w:rsidP="009D24E8">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9D24E8" w:rsidRPr="00586880"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9D24E8" w:rsidRPr="00586880"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9D24E8" w:rsidRPr="00586880"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9D24E8" w:rsidRPr="00586880"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lastRenderedPageBreak/>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Venecia, Florencia, Asís y Roma;</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y Niza;</w:t>
      </w:r>
    </w:p>
    <w:p w:rsidR="009D24E8" w:rsidRPr="005A55D2"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y Basílica de San Pedro de Roma.</w:t>
      </w: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D24E8" w:rsidRDefault="009D24E8" w:rsidP="009D24E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9D24E8" w:rsidRDefault="009D24E8" w:rsidP="009D24E8">
      <w:pPr>
        <w:spacing w:line="240" w:lineRule="auto"/>
        <w:ind w:left="181"/>
        <w:rPr>
          <w:lang w:val="es-ES_tradnl"/>
        </w:rPr>
      </w:pPr>
    </w:p>
    <w:p w:rsidR="009D24E8" w:rsidRPr="00900907" w:rsidRDefault="009D24E8" w:rsidP="009D24E8">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4C023A">
        <w:rPr>
          <w:rFonts w:ascii="Tahoma" w:eastAsia="Times New Roman" w:hAnsi="Tahoma" w:cs="Tahoma"/>
          <w:bCs/>
          <w:color w:val="7F7F7F" w:themeColor="text1" w:themeTint="80"/>
          <w:kern w:val="36"/>
          <w:sz w:val="18"/>
          <w:szCs w:val="18"/>
          <w:lang w:val="es-ES_tradnl" w:eastAsia="pt-PT"/>
        </w:rPr>
        <w:t xml:space="preserve"> </w:t>
      </w:r>
    </w:p>
    <w:p w:rsidR="009D24E8"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5 + 4 cenas en los días 2, 3 y 8</w:t>
      </w:r>
    </w:p>
    <w:p w:rsidR="009D24E8" w:rsidRDefault="009D24E8" w:rsidP="009D24E8">
      <w:pPr>
        <w:spacing w:line="240" w:lineRule="auto"/>
        <w:ind w:left="181"/>
        <w:rPr>
          <w:rFonts w:ascii="Tahoma" w:eastAsia="Times New Roman" w:hAnsi="Tahoma" w:cs="Tahoma"/>
          <w:bCs/>
          <w:color w:val="7F7F7F" w:themeColor="text1" w:themeTint="80"/>
          <w:kern w:val="36"/>
          <w:sz w:val="18"/>
          <w:szCs w:val="18"/>
          <w:lang w:val="es-ES_tradnl" w:eastAsia="pt-PT"/>
        </w:rPr>
      </w:pPr>
    </w:p>
    <w:p w:rsidR="004C023A" w:rsidRDefault="004C023A" w:rsidP="009D24E8">
      <w:pPr>
        <w:spacing w:line="240" w:lineRule="auto"/>
        <w:ind w:left="181"/>
        <w:rPr>
          <w:rFonts w:ascii="Tahoma" w:eastAsia="Times New Roman" w:hAnsi="Tahoma" w:cs="Tahoma"/>
          <w:bCs/>
          <w:color w:val="7F7F7F" w:themeColor="text1" w:themeTint="80"/>
          <w:kern w:val="36"/>
          <w:sz w:val="18"/>
          <w:szCs w:val="18"/>
          <w:lang w:val="es-ES_tradnl" w:eastAsia="pt-PT"/>
        </w:rPr>
      </w:pPr>
    </w:p>
    <w:p w:rsidR="004C023A" w:rsidRDefault="004C023A" w:rsidP="009D24E8">
      <w:pPr>
        <w:spacing w:line="240" w:lineRule="auto"/>
        <w:ind w:left="181"/>
        <w:rPr>
          <w:rFonts w:ascii="Tahoma" w:eastAsia="Times New Roman" w:hAnsi="Tahoma" w:cs="Tahoma"/>
          <w:bCs/>
          <w:color w:val="7F7F7F" w:themeColor="text1" w:themeTint="80"/>
          <w:kern w:val="36"/>
          <w:sz w:val="18"/>
          <w:szCs w:val="18"/>
          <w:lang w:val="es-ES_tradnl" w:eastAsia="pt-PT"/>
        </w:rPr>
      </w:pPr>
    </w:p>
    <w:p w:rsidR="004C023A" w:rsidRDefault="004C023A" w:rsidP="004C023A">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4C023A"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4C023A" w:rsidRPr="0047227E" w:rsidRDefault="004C023A" w:rsidP="0096085E">
            <w:pPr>
              <w:spacing w:line="240" w:lineRule="auto"/>
              <w:jc w:val="both"/>
              <w:rPr>
                <w:rFonts w:ascii="Calibri" w:eastAsia="Times New Roman" w:hAnsi="Calibri" w:cs="Calibri"/>
                <w:color w:val="000000"/>
                <w:lang w:eastAsia="pt-PT"/>
              </w:rPr>
            </w:pPr>
          </w:p>
        </w:tc>
      </w:tr>
      <w:tr w:rsidR="004C023A"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4C023A" w:rsidRPr="0047227E" w:rsidRDefault="004C023A"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C023A" w:rsidRPr="0047227E" w:rsidRDefault="004C023A"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C023A" w:rsidRPr="0047227E" w:rsidRDefault="004C023A"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C023A" w:rsidRPr="0047227E" w:rsidRDefault="004C023A"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4C023A"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$2.154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C023A" w:rsidRPr="0047227E" w:rsidRDefault="004C023A" w:rsidP="004C023A">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805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C023A" w:rsidRPr="0047227E" w:rsidRDefault="004C023A" w:rsidP="004C023A">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205</w:t>
            </w:r>
          </w:p>
        </w:tc>
      </w:tr>
      <w:tr w:rsidR="004C023A"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$1.762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$530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C023A" w:rsidRPr="0047227E" w:rsidRDefault="004C023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$161</w:t>
            </w:r>
          </w:p>
        </w:tc>
      </w:tr>
    </w:tbl>
    <w:p w:rsidR="004C023A" w:rsidRPr="004223A0" w:rsidRDefault="004C023A" w:rsidP="009D24E8">
      <w:pPr>
        <w:spacing w:line="240" w:lineRule="auto"/>
        <w:ind w:left="181"/>
        <w:rPr>
          <w:rFonts w:ascii="Tahoma" w:eastAsia="Times New Roman" w:hAnsi="Tahoma" w:cs="Tahoma"/>
          <w:bCs/>
          <w:color w:val="7F7F7F" w:themeColor="text1" w:themeTint="80"/>
          <w:kern w:val="36"/>
          <w:sz w:val="18"/>
          <w:szCs w:val="18"/>
          <w:lang w:val="es-ES_tradnl" w:eastAsia="pt-PT"/>
        </w:rPr>
      </w:pPr>
    </w:p>
    <w:p w:rsidR="009D24E8" w:rsidRDefault="009D24E8" w:rsidP="009D24E8">
      <w:pPr>
        <w:spacing w:line="240" w:lineRule="auto"/>
        <w:ind w:left="181"/>
        <w:rPr>
          <w:lang w:val="es-ES"/>
        </w:rPr>
      </w:pPr>
    </w:p>
    <w:p w:rsidR="009D24E8" w:rsidRPr="002F33D5" w:rsidRDefault="009D24E8" w:rsidP="009D24E8">
      <w:pPr>
        <w:spacing w:line="240" w:lineRule="auto"/>
        <w:ind w:left="181"/>
        <w:rPr>
          <w:rFonts w:ascii="Tahoma" w:eastAsia="Times New Roman" w:hAnsi="Tahoma" w:cs="Tahoma"/>
          <w:b/>
          <w:bCs/>
          <w:color w:val="7F7F7F" w:themeColor="text1" w:themeTint="80"/>
          <w:kern w:val="36"/>
          <w:sz w:val="20"/>
          <w:szCs w:val="20"/>
          <w:lang w:val="es-ES" w:eastAsia="pt-PT"/>
        </w:rPr>
      </w:pPr>
      <w:r w:rsidRPr="002F33D5">
        <w:rPr>
          <w:rFonts w:ascii="Tahoma" w:eastAsia="Times New Roman" w:hAnsi="Tahoma" w:cs="Tahoma"/>
          <w:b/>
          <w:bCs/>
          <w:color w:val="548DD4" w:themeColor="text2" w:themeTint="99"/>
          <w:kern w:val="36"/>
          <w:sz w:val="20"/>
          <w:szCs w:val="20"/>
          <w:lang w:val="es-ES" w:eastAsia="pt-PT"/>
        </w:rPr>
        <w:t>HOTELES</w:t>
      </w:r>
    </w:p>
    <w:p w:rsidR="009D24E8" w:rsidRDefault="009D24E8" w:rsidP="009D24E8">
      <w:pPr>
        <w:spacing w:line="240" w:lineRule="auto"/>
        <w:ind w:left="181"/>
        <w:rPr>
          <w:lang w:val="es-ES"/>
        </w:rPr>
      </w:pPr>
    </w:p>
    <w:p w:rsidR="009D24E8" w:rsidRPr="00552644" w:rsidRDefault="009D24E8" w:rsidP="009D24E8">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9D24E8" w:rsidRPr="00AF3D26" w:rsidRDefault="009D24E8" w:rsidP="009D24E8">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9D24E8" w:rsidRPr="00AF3D26" w:rsidRDefault="009D24E8" w:rsidP="009D24E8">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9D24E8" w:rsidRPr="00AF3D26" w:rsidRDefault="009D24E8" w:rsidP="009D24E8">
      <w:pPr>
        <w:spacing w:line="240" w:lineRule="auto"/>
        <w:ind w:left="181"/>
        <w:outlineLvl w:val="1"/>
        <w:rPr>
          <w:rFonts w:ascii="Tahoma" w:eastAsia="Times New Roman" w:hAnsi="Tahoma" w:cs="Tahoma"/>
          <w:b/>
          <w:color w:val="7F7F7F" w:themeColor="text1" w:themeTint="80"/>
          <w:sz w:val="18"/>
          <w:szCs w:val="18"/>
          <w:lang w:val="it-IT" w:eastAsia="pt-PT"/>
        </w:rPr>
      </w:pPr>
    </w:p>
    <w:p w:rsidR="004A43D7" w:rsidRPr="00AF3D26" w:rsidRDefault="004A43D7" w:rsidP="004A43D7">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4A43D7" w:rsidRPr="00AD6D46" w:rsidRDefault="004A43D7" w:rsidP="004A43D7">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4A43D7" w:rsidRPr="00AD6D46" w:rsidRDefault="004A43D7" w:rsidP="004A43D7">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9D24E8" w:rsidRPr="007F0CD4" w:rsidRDefault="009D24E8" w:rsidP="009D24E8">
      <w:pPr>
        <w:spacing w:line="240" w:lineRule="auto"/>
        <w:ind w:left="181"/>
        <w:outlineLvl w:val="1"/>
        <w:rPr>
          <w:rFonts w:ascii="Tahoma" w:eastAsia="Times New Roman" w:hAnsi="Tahoma" w:cs="Tahoma"/>
          <w:b/>
          <w:color w:val="7F7F7F" w:themeColor="text1" w:themeTint="80"/>
          <w:sz w:val="18"/>
          <w:szCs w:val="18"/>
          <w:lang w:val="it-IT" w:eastAsia="pt-PT"/>
        </w:rPr>
      </w:pPr>
    </w:p>
    <w:p w:rsidR="009D24E8" w:rsidRPr="00AF3D26" w:rsidRDefault="009D24E8" w:rsidP="009D24E8">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9D24E8" w:rsidRPr="00AD6D46" w:rsidRDefault="009D24E8" w:rsidP="009D24E8">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9D24E8" w:rsidRPr="004A43D7" w:rsidRDefault="009D24E8" w:rsidP="00140FF7">
      <w:pPr>
        <w:spacing w:line="240" w:lineRule="auto"/>
        <w:ind w:left="181"/>
        <w:outlineLvl w:val="1"/>
        <w:rPr>
          <w:rFonts w:ascii="Tahoma" w:eastAsia="Times New Roman" w:hAnsi="Tahoma" w:cs="Tahoma"/>
          <w:color w:val="7F7F7F" w:themeColor="text1" w:themeTint="80"/>
          <w:sz w:val="18"/>
          <w:szCs w:val="18"/>
          <w:lang w:val="es-CL" w:eastAsia="pt-PT"/>
        </w:rPr>
      </w:pPr>
      <w:r w:rsidRPr="004A43D7">
        <w:rPr>
          <w:rFonts w:ascii="Tahoma" w:eastAsia="Times New Roman" w:hAnsi="Tahoma" w:cs="Tahoma"/>
          <w:b/>
          <w:color w:val="92D050"/>
          <w:sz w:val="18"/>
          <w:szCs w:val="18"/>
          <w:lang w:val="es-CL" w:eastAsia="pt-PT"/>
        </w:rPr>
        <w:t xml:space="preserve">1ª Moderada: </w:t>
      </w:r>
      <w:r w:rsidRPr="004A43D7">
        <w:rPr>
          <w:rFonts w:ascii="Tahoma" w:eastAsia="Times New Roman" w:hAnsi="Tahoma" w:cs="Tahoma"/>
          <w:color w:val="7F7F7F" w:themeColor="text1" w:themeTint="80"/>
          <w:sz w:val="18"/>
          <w:szCs w:val="18"/>
          <w:lang w:val="es-CL" w:eastAsia="pt-PT"/>
        </w:rPr>
        <w:t>Regent 4*</w:t>
      </w:r>
    </w:p>
    <w:p w:rsidR="009D24E8" w:rsidRPr="004A43D7" w:rsidRDefault="009D24E8" w:rsidP="009D24E8">
      <w:pPr>
        <w:spacing w:line="240" w:lineRule="auto"/>
        <w:ind w:left="181"/>
        <w:outlineLvl w:val="1"/>
        <w:rPr>
          <w:rFonts w:ascii="Tahoma" w:eastAsia="Times New Roman" w:hAnsi="Tahoma" w:cs="Tahoma"/>
          <w:b/>
          <w:color w:val="7F7F7F" w:themeColor="text1" w:themeTint="80"/>
          <w:sz w:val="18"/>
          <w:szCs w:val="18"/>
          <w:lang w:val="es-CL" w:eastAsia="pt-PT"/>
        </w:rPr>
      </w:pPr>
    </w:p>
    <w:p w:rsidR="009D24E8" w:rsidRPr="004A43D7" w:rsidRDefault="009D24E8" w:rsidP="009D24E8">
      <w:pPr>
        <w:spacing w:line="240" w:lineRule="auto"/>
        <w:ind w:left="181"/>
        <w:outlineLvl w:val="1"/>
        <w:rPr>
          <w:rFonts w:ascii="Tahoma" w:eastAsia="Times New Roman" w:hAnsi="Tahoma" w:cs="Tahoma"/>
          <w:b/>
          <w:color w:val="7F7F7F" w:themeColor="text1" w:themeTint="80"/>
          <w:sz w:val="18"/>
          <w:szCs w:val="18"/>
          <w:lang w:val="es-CL" w:eastAsia="pt-PT"/>
        </w:rPr>
      </w:pPr>
      <w:r w:rsidRPr="004A43D7">
        <w:rPr>
          <w:rFonts w:ascii="Tahoma" w:eastAsia="Times New Roman" w:hAnsi="Tahoma" w:cs="Tahoma"/>
          <w:b/>
          <w:color w:val="7F7F7F" w:themeColor="text1" w:themeTint="80"/>
          <w:sz w:val="18"/>
          <w:szCs w:val="18"/>
          <w:lang w:val="es-CL" w:eastAsia="pt-PT"/>
        </w:rPr>
        <w:t>NIZA</w:t>
      </w:r>
    </w:p>
    <w:p w:rsidR="009D24E8" w:rsidRPr="00AD6D46" w:rsidRDefault="009D24E8" w:rsidP="0051469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sidR="00514692">
        <w:rPr>
          <w:rFonts w:ascii="Tahoma" w:eastAsia="Times New Roman" w:hAnsi="Tahoma" w:cs="Tahoma"/>
          <w:color w:val="7F7F7F" w:themeColor="text1" w:themeTint="80"/>
          <w:sz w:val="18"/>
          <w:szCs w:val="18"/>
          <w:lang w:val="es-ES_tradnl" w:eastAsia="pt-PT"/>
        </w:rPr>
        <w:t>Le</w:t>
      </w:r>
      <w:r>
        <w:rPr>
          <w:rFonts w:ascii="Tahoma" w:eastAsia="Times New Roman" w:hAnsi="Tahoma" w:cs="Tahoma"/>
          <w:color w:val="7F7F7F" w:themeColor="text1" w:themeTint="80"/>
          <w:sz w:val="18"/>
          <w:szCs w:val="18"/>
          <w:lang w:val="es-ES_tradnl" w:eastAsia="pt-PT"/>
        </w:rPr>
        <w:t xml:space="preserve"> Beau Rivage</w:t>
      </w:r>
      <w:r w:rsidRPr="00AD6D46">
        <w:rPr>
          <w:rFonts w:ascii="Tahoma" w:eastAsia="Times New Roman" w:hAnsi="Tahoma" w:cs="Tahoma"/>
          <w:color w:val="7F7F7F" w:themeColor="text1" w:themeTint="80"/>
          <w:sz w:val="18"/>
          <w:szCs w:val="18"/>
          <w:lang w:val="es-ES_tradnl" w:eastAsia="pt-PT"/>
        </w:rPr>
        <w:t xml:space="preserve"> 4*</w:t>
      </w:r>
    </w:p>
    <w:p w:rsidR="009D24E8" w:rsidRPr="004A43D7" w:rsidRDefault="009D24E8" w:rsidP="00514692">
      <w:pPr>
        <w:spacing w:line="240" w:lineRule="auto"/>
        <w:ind w:left="181"/>
        <w:outlineLvl w:val="1"/>
        <w:rPr>
          <w:rFonts w:ascii="Tahoma" w:eastAsia="Times New Roman" w:hAnsi="Tahoma" w:cs="Tahoma"/>
          <w:color w:val="7F7F7F" w:themeColor="text1" w:themeTint="80"/>
          <w:sz w:val="18"/>
          <w:szCs w:val="18"/>
          <w:lang w:eastAsia="pt-PT"/>
        </w:rPr>
      </w:pPr>
      <w:r w:rsidRPr="004A43D7">
        <w:rPr>
          <w:rFonts w:ascii="Tahoma" w:eastAsia="Times New Roman" w:hAnsi="Tahoma" w:cs="Tahoma"/>
          <w:b/>
          <w:color w:val="92D050"/>
          <w:sz w:val="18"/>
          <w:szCs w:val="18"/>
          <w:lang w:eastAsia="pt-PT"/>
        </w:rPr>
        <w:t xml:space="preserve">1ª Moderada: </w:t>
      </w:r>
      <w:r w:rsidRPr="004A43D7">
        <w:rPr>
          <w:rFonts w:ascii="Tahoma" w:eastAsia="Times New Roman" w:hAnsi="Tahoma" w:cs="Tahoma"/>
          <w:color w:val="7F7F7F" w:themeColor="text1" w:themeTint="80"/>
          <w:sz w:val="18"/>
          <w:szCs w:val="18"/>
          <w:lang w:eastAsia="pt-PT"/>
        </w:rPr>
        <w:t>Mercure</w:t>
      </w:r>
      <w:r w:rsidR="00514692" w:rsidRPr="004A43D7">
        <w:rPr>
          <w:rFonts w:ascii="Tahoma" w:eastAsia="Times New Roman" w:hAnsi="Tahoma" w:cs="Tahoma"/>
          <w:color w:val="7F7F7F" w:themeColor="text1" w:themeTint="80"/>
          <w:sz w:val="18"/>
          <w:szCs w:val="18"/>
          <w:lang w:eastAsia="pt-PT"/>
        </w:rPr>
        <w:t xml:space="preserve"> Nice </w:t>
      </w:r>
      <w:r w:rsidRPr="004A43D7">
        <w:rPr>
          <w:rFonts w:ascii="Tahoma" w:eastAsia="Times New Roman" w:hAnsi="Tahoma" w:cs="Tahoma"/>
          <w:color w:val="7F7F7F" w:themeColor="text1" w:themeTint="80"/>
          <w:sz w:val="18"/>
          <w:szCs w:val="18"/>
          <w:lang w:eastAsia="pt-PT"/>
        </w:rPr>
        <w:t>Centre Notre Dame 4*</w:t>
      </w:r>
    </w:p>
    <w:p w:rsidR="002E6AFE" w:rsidRDefault="002E6AFE" w:rsidP="009D24E8">
      <w:pPr>
        <w:spacing w:line="240" w:lineRule="auto"/>
        <w:ind w:left="181"/>
      </w:pPr>
    </w:p>
    <w:p w:rsidR="004C023A" w:rsidRDefault="004C023A" w:rsidP="009D24E8">
      <w:pPr>
        <w:spacing w:line="240" w:lineRule="auto"/>
        <w:ind w:left="181"/>
      </w:pPr>
    </w:p>
    <w:p w:rsidR="004C023A" w:rsidRPr="004C023A" w:rsidRDefault="004C023A" w:rsidP="004C023A">
      <w:pPr>
        <w:rPr>
          <w:rFonts w:ascii="Tahoma" w:hAnsi="Tahoma" w:cs="Tahoma"/>
          <w:bCs/>
          <w:sz w:val="18"/>
          <w:szCs w:val="18"/>
          <w:lang w:val="es-ES"/>
        </w:rPr>
      </w:pPr>
      <w:r w:rsidRPr="004C023A">
        <w:rPr>
          <w:rFonts w:ascii="Tahoma" w:hAnsi="Tahoma" w:cs="Tahoma"/>
          <w:bCs/>
          <w:sz w:val="18"/>
          <w:szCs w:val="18"/>
          <w:lang w:val="es-ES"/>
        </w:rPr>
        <w:t>.En la salida del 09 Junio (1º clase y 1º moderada) y 23 Junio (1ª moderada),07 Julio (1ª moderada) y 01 Septiembre (1ª moderada) debido a la realización de Congresos y Ferias, la estancia en Niza podrá ser en un hotel ubicado en los alrededores de la ciudad.</w:t>
      </w:r>
    </w:p>
    <w:p w:rsidR="004C023A" w:rsidRPr="004C023A" w:rsidRDefault="004C023A" w:rsidP="009D24E8">
      <w:pPr>
        <w:spacing w:line="240" w:lineRule="auto"/>
        <w:ind w:left="181"/>
        <w:rPr>
          <w:rFonts w:ascii="Tahoma" w:hAnsi="Tahoma" w:cs="Tahoma"/>
          <w:sz w:val="18"/>
          <w:szCs w:val="18"/>
          <w:lang w:val="es-ES"/>
        </w:rPr>
      </w:pPr>
    </w:p>
    <w:sectPr w:rsidR="004C023A" w:rsidRPr="004C023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7E" w:rsidRDefault="00213B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7E" w:rsidRDefault="00213B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7E" w:rsidRDefault="00213B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7E" w:rsidRDefault="00213B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7E" w:rsidRDefault="00213B7E">
    <w:pPr>
      <w:pStyle w:val="Cabealho"/>
    </w:pPr>
    <w:r>
      <w:rPr>
        <w:rFonts w:ascii="Verdana" w:hAnsi="Verdana"/>
        <w:noProof/>
        <w:color w:val="83A91D"/>
        <w:sz w:val="21"/>
        <w:szCs w:val="21"/>
        <w:lang w:eastAsia="pt-PT"/>
      </w:rPr>
      <w:drawing>
        <wp:inline distT="0" distB="0" distL="0" distR="0" wp14:anchorId="772C27A5" wp14:editId="73F9EBBC">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213B7E" w:rsidRDefault="00213B7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7E" w:rsidRDefault="00213B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57B5"/>
    <w:rsid w:val="00096103"/>
    <w:rsid w:val="00140FF7"/>
    <w:rsid w:val="001F5BA6"/>
    <w:rsid w:val="00213B7E"/>
    <w:rsid w:val="00236F4F"/>
    <w:rsid w:val="00261B54"/>
    <w:rsid w:val="002E6AFE"/>
    <w:rsid w:val="002F4A08"/>
    <w:rsid w:val="003152DF"/>
    <w:rsid w:val="00495CE2"/>
    <w:rsid w:val="004A43D7"/>
    <w:rsid w:val="004B7697"/>
    <w:rsid w:val="004C023A"/>
    <w:rsid w:val="004D036C"/>
    <w:rsid w:val="00507DEB"/>
    <w:rsid w:val="00514692"/>
    <w:rsid w:val="00576F3F"/>
    <w:rsid w:val="00617F89"/>
    <w:rsid w:val="007074D8"/>
    <w:rsid w:val="0075435B"/>
    <w:rsid w:val="00770E9C"/>
    <w:rsid w:val="009066EF"/>
    <w:rsid w:val="009408F3"/>
    <w:rsid w:val="00984010"/>
    <w:rsid w:val="009D24E8"/>
    <w:rsid w:val="009E44A9"/>
    <w:rsid w:val="00A95757"/>
    <w:rsid w:val="00AD7040"/>
    <w:rsid w:val="00AE65AF"/>
    <w:rsid w:val="00AF469D"/>
    <w:rsid w:val="00BA295E"/>
    <w:rsid w:val="00BE33EA"/>
    <w:rsid w:val="00BE6100"/>
    <w:rsid w:val="00C06766"/>
    <w:rsid w:val="00C15DD0"/>
    <w:rsid w:val="00C333A1"/>
    <w:rsid w:val="00C432E9"/>
    <w:rsid w:val="00C96822"/>
    <w:rsid w:val="00CE5917"/>
    <w:rsid w:val="00D802B6"/>
    <w:rsid w:val="00DB4E82"/>
    <w:rsid w:val="00DC6CF2"/>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213B7E"/>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13B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213B7E"/>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13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13450">
      <w:bodyDiv w:val="1"/>
      <w:marLeft w:val="0"/>
      <w:marRight w:val="0"/>
      <w:marTop w:val="0"/>
      <w:marBottom w:val="0"/>
      <w:divBdr>
        <w:top w:val="none" w:sz="0" w:space="0" w:color="auto"/>
        <w:left w:val="none" w:sz="0" w:space="0" w:color="auto"/>
        <w:bottom w:val="none" w:sz="0" w:space="0" w:color="auto"/>
        <w:right w:val="none" w:sz="0" w:space="0" w:color="auto"/>
      </w:divBdr>
    </w:div>
    <w:div w:id="18734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1394</Words>
  <Characters>7531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14</cp:revision>
  <dcterms:created xsi:type="dcterms:W3CDTF">2013-09-16T09:02:00Z</dcterms:created>
  <dcterms:modified xsi:type="dcterms:W3CDTF">2014-04-11T09:33:00Z</dcterms:modified>
</cp:coreProperties>
</file>